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0" w:after="150" w:line="480" w:lineRule="auto"/>
        <w:rPr>
          <w:rFonts w:hint="default" w:ascii="Times New Roman" w:hAnsi="Times New Roman" w:eastAsia="微软雅黑" w:cs="Times New Roman"/>
          <w:b/>
          <w:color w:val="484848"/>
          <w:sz w:val="21"/>
          <w:szCs w:val="21"/>
        </w:rPr>
      </w:pPr>
      <w:r>
        <w:rPr>
          <w:rFonts w:hint="default" w:ascii="Times New Roman" w:hAnsi="Times New Roman" w:eastAsia="微软雅黑" w:cs="Times New Roman"/>
          <w:color w:val="484848"/>
          <w:sz w:val="21"/>
          <w:szCs w:val="21"/>
        </w:rPr>
        <w:t>Resolved that,</w:t>
      </w:r>
      <w:r>
        <w:rPr>
          <w:rFonts w:hint="default" w:ascii="Times New Roman" w:hAnsi="Times New Roman" w:eastAsia="微软雅黑" w:cs="Times New Roman"/>
          <w:b/>
          <w:color w:val="484848"/>
          <w:sz w:val="21"/>
          <w:szCs w:val="21"/>
        </w:rPr>
        <w:t xml:space="preserve"> </w:t>
      </w:r>
      <w:r>
        <w:rPr>
          <w:rFonts w:hint="default" w:ascii="Times New Roman" w:hAnsi="Times New Roman" w:eastAsia="微软雅黑" w:cs="Times New Roman"/>
          <w:color w:val="484848"/>
          <w:sz w:val="21"/>
          <w:szCs w:val="21"/>
        </w:rPr>
        <w:t>unless otherwise agreed the following baggage provisions selection process should apply for interline journeys.</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1) Baggage provisions are defined as free baggage allowance rules and baggage charges.</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2) For the purposes of baggage provisions selection, the following 4 step process should apply for interline journeys:</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a) Step 1</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If the published baggage provisions among all participating carriers are the same; these provisions will apply.</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b) Step 2</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Where the one or more published baggage provisions differ between participating carriers, apply any common provisions and where provisions differ the published baggage provisions of the MSC (Most Significant Carrier).(In case of codeshare flights this will be the Marketing Carrier, unless that carrier publishes a rule stipulating that it will be the Operating Carrier).</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c) Step 3</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If the MSC does not publish baggage provisions for the journey concerned apply the published baggage provisions of the carrier accepting the baggage at check-in.</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d) Step 4</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If the carrier accepting the baggage at check-in does not publish baggage provisions for the interline journey concerned apply the published baggage provisions of each operating airline sector-by-sector.</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3) The MSC (Most Significant Carrier) is</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a)</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For travel between two or more IATA Areas, the carrier performing carriage on the first sector that crosses from one area to another.</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Exception: IATA Area 1/2/3 only, the carrier providing carriage on the first sector that crosses between IATA Area 1 and IATA Area 2.</w:t>
      </w:r>
    </w:p>
    <w:p>
      <w:pPr>
        <w:pStyle w:val="2"/>
        <w:shd w:val="clear" w:color="auto" w:fill="FFFFFF"/>
        <w:spacing w:before="150" w:after="15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b)</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w:t>
      </w:r>
      <w:r>
        <w:rPr>
          <w:rFonts w:hint="default" w:ascii="Times New Roman" w:hAnsi="Times New Roman" w:eastAsia="微软雅黑" w:cs="Times New Roman"/>
          <w:color w:val="484848"/>
          <w:sz w:val="21"/>
          <w:szCs w:val="21"/>
        </w:rPr>
        <w:tab/>
      </w:r>
      <w:bookmarkStart w:id="0" w:name="_GoBack"/>
      <w:bookmarkEnd w:id="0"/>
      <w:r>
        <w:rPr>
          <w:rFonts w:hint="default" w:ascii="Times New Roman" w:hAnsi="Times New Roman" w:eastAsia="微软雅黑" w:cs="Times New Roman"/>
          <w:color w:val="484848"/>
          <w:sz w:val="21"/>
          <w:szCs w:val="21"/>
        </w:rPr>
        <w:t>For travel between IATA Tariff sub-areas, the carrier performing carriage on the first sector that crosses from one sub-area to another.</w:t>
      </w:r>
    </w:p>
    <w:p>
      <w:pPr>
        <w:pStyle w:val="2"/>
        <w:shd w:val="clear" w:color="auto" w:fill="FFFFFF"/>
        <w:spacing w:before="150" w:beforeAutospacing="0" w:after="150" w:afterAutospacing="0" w:line="480" w:lineRule="auto"/>
        <w:rPr>
          <w:rFonts w:hint="default" w:ascii="Times New Roman" w:hAnsi="Times New Roman" w:eastAsia="微软雅黑" w:cs="Times New Roman"/>
          <w:color w:val="484848"/>
          <w:sz w:val="21"/>
          <w:szCs w:val="21"/>
        </w:rPr>
      </w:pPr>
      <w:r>
        <w:rPr>
          <w:rFonts w:hint="default" w:ascii="Times New Roman" w:hAnsi="Times New Roman" w:eastAsia="微软雅黑" w:cs="Times New Roman"/>
          <w:color w:val="484848"/>
          <w:sz w:val="21"/>
          <w:szCs w:val="21"/>
        </w:rPr>
        <w:t>c)</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w:t>
      </w:r>
      <w:r>
        <w:rPr>
          <w:rFonts w:hint="default" w:ascii="Times New Roman" w:hAnsi="Times New Roman" w:eastAsia="微软雅黑" w:cs="Times New Roman"/>
          <w:color w:val="484848"/>
          <w:sz w:val="21"/>
          <w:szCs w:val="21"/>
        </w:rPr>
        <w:tab/>
      </w:r>
      <w:r>
        <w:rPr>
          <w:rFonts w:hint="default" w:ascii="Times New Roman" w:hAnsi="Times New Roman" w:eastAsia="微软雅黑" w:cs="Times New Roman"/>
          <w:color w:val="484848"/>
          <w:sz w:val="21"/>
          <w:szCs w:val="21"/>
        </w:rPr>
        <w:t>For travel within a IATA Tariff sub-area, the carrier performing carriage on the first international sector.</w:t>
      </w:r>
    </w:p>
    <w:p>
      <w:pPr>
        <w:rPr>
          <w:rFonts w:hint="default"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Calibri Light">
    <w:altName w:val="Calibri"/>
    <w:panose1 w:val="020F0302020204030204"/>
    <w:charset w:val="00"/>
    <w:family w:val="roman"/>
    <w:pitch w:val="default"/>
    <w:sig w:usb0="00000000" w:usb1="00000000" w:usb2="00000009" w:usb3="00000000" w:csb0="000001F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47184"/>
    <w:rsid w:val="092D19D0"/>
    <w:rsid w:val="17C47184"/>
    <w:rsid w:val="689C672A"/>
    <w:rsid w:val="78F673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2019-01-29T08:17:00Z</dcterms:created>
  <dc:creator>Administrator</dc:creator>
  <cp:lastModifiedBy>Administrator</cp:lastModifiedBy>
  <dcterms:modified xsi:type="dcterms:W3CDTF">2019-01-29T08:21:35Z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