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6ABE2" w14:textId="77777777" w:rsidR="001D4459" w:rsidRPr="00636286" w:rsidRDefault="000F019D" w:rsidP="001D4459">
      <w:pPr>
        <w:jc w:val="center"/>
        <w:rPr>
          <w:rFonts w:ascii="Arial" w:hAnsi="Arial" w:cs="Arial"/>
        </w:rPr>
      </w:pPr>
      <w:r>
        <w:rPr>
          <w:rFonts w:ascii="Arial" w:hAnsi="Arial" w:cs="Arial"/>
          <w:noProof/>
          <w:lang w:eastAsia="zh-CN"/>
        </w:rPr>
        <w:drawing>
          <wp:inline distT="0" distB="0" distL="0" distR="0" wp14:anchorId="1FBAD223" wp14:editId="5D1C4136">
            <wp:extent cx="3739794" cy="793322"/>
            <wp:effectExtent l="0" t="0" r="0" b="0"/>
            <wp:docPr id="2" name="圖片 2" descr="X:\Client\China Southern Airlines 1055\Company Logo\辅助标识1-四色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China Southern Airlines 1055\Company Logo\辅助标识1-四色版.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2396" cy="793874"/>
                    </a:xfrm>
                    <a:prstGeom prst="rect">
                      <a:avLst/>
                    </a:prstGeom>
                    <a:noFill/>
                    <a:ln>
                      <a:noFill/>
                    </a:ln>
                  </pic:spPr>
                </pic:pic>
              </a:graphicData>
            </a:graphic>
          </wp:inline>
        </w:drawing>
      </w:r>
    </w:p>
    <w:p w14:paraId="164071C2" w14:textId="44F5506C" w:rsidR="00D27EA0" w:rsidRPr="000C2432" w:rsidRDefault="00D61ED2" w:rsidP="001D4459">
      <w:pPr>
        <w:jc w:val="center"/>
        <w:rPr>
          <w:rFonts w:ascii="Arial" w:eastAsia="宋体" w:hAnsi="Arial" w:cs="Arial"/>
          <w:b/>
          <w:lang w:eastAsia="zh-CN"/>
        </w:rPr>
      </w:pPr>
      <w:r>
        <w:rPr>
          <w:rFonts w:ascii="Arial" w:eastAsia="宋体" w:hAnsi="Arial" w:cs="Arial" w:hint="eastAsia"/>
          <w:b/>
          <w:lang w:eastAsia="zh-CN"/>
        </w:rPr>
        <w:t xml:space="preserve">Annual Report on Form 20-F for Fiscal Year 2016 of China Southern Airlines </w:t>
      </w:r>
      <w:r w:rsidR="000C2432" w:rsidRPr="000C2432">
        <w:rPr>
          <w:rFonts w:ascii="Arial" w:eastAsia="宋体" w:hAnsi="Arial" w:cs="Arial"/>
          <w:b/>
          <w:lang w:eastAsia="zh-CN"/>
        </w:rPr>
        <w:t>Company Limited</w:t>
      </w:r>
      <w:r w:rsidR="000C2432" w:rsidRPr="000C2432">
        <w:rPr>
          <w:rFonts w:ascii="Arial" w:eastAsia="宋体" w:hAnsi="Arial" w:cs="Arial" w:hint="eastAsia"/>
          <w:b/>
          <w:lang w:eastAsia="zh-CN"/>
        </w:rPr>
        <w:t xml:space="preserve"> </w:t>
      </w:r>
      <w:r w:rsidR="000C2432">
        <w:rPr>
          <w:rFonts w:ascii="Arial" w:eastAsia="宋体" w:hAnsi="Arial" w:cs="Arial" w:hint="eastAsia"/>
          <w:b/>
          <w:lang w:eastAsia="zh-CN"/>
        </w:rPr>
        <w:t>Now Available</w:t>
      </w:r>
    </w:p>
    <w:p w14:paraId="4158D86C" w14:textId="77777777" w:rsidR="00D27EA0" w:rsidRPr="00B0607C" w:rsidRDefault="00D27EA0" w:rsidP="001D4459">
      <w:pPr>
        <w:jc w:val="center"/>
        <w:rPr>
          <w:rFonts w:ascii="Arial" w:hAnsi="Arial" w:cs="Arial"/>
          <w:b/>
          <w:lang w:eastAsia="zh-CN"/>
        </w:rPr>
      </w:pPr>
      <w:bookmarkStart w:id="0" w:name="_GoBack"/>
      <w:bookmarkEnd w:id="0"/>
    </w:p>
    <w:p w14:paraId="4067544F" w14:textId="6D4B2A6C" w:rsidR="00D61ED2" w:rsidRPr="00D61ED2" w:rsidRDefault="00D61ED2" w:rsidP="00D61ED2">
      <w:pPr>
        <w:tabs>
          <w:tab w:val="left" w:pos="1200"/>
          <w:tab w:val="left" w:pos="6120"/>
        </w:tabs>
        <w:jc w:val="both"/>
        <w:rPr>
          <w:rFonts w:ascii="Arial" w:hAnsi="Arial" w:cs="Arial"/>
          <w:bCs/>
          <w:sz w:val="22"/>
          <w:lang w:eastAsia="zh-CN"/>
        </w:rPr>
      </w:pPr>
      <w:r w:rsidRPr="00D61ED2">
        <w:rPr>
          <w:rFonts w:ascii="Arial" w:hAnsi="Arial" w:cs="Arial"/>
          <w:bCs/>
          <w:sz w:val="22"/>
          <w:lang w:eastAsia="zh-CN"/>
        </w:rPr>
        <w:t>The Company’s Form 20-F for the fiscal year ended December 31, 201</w:t>
      </w:r>
      <w:r w:rsidRPr="003218DB">
        <w:rPr>
          <w:rFonts w:ascii="Arial" w:hAnsi="Arial" w:cs="Arial" w:hint="eastAsia"/>
          <w:bCs/>
          <w:sz w:val="22"/>
          <w:lang w:eastAsia="zh-CN"/>
        </w:rPr>
        <w:t>6</w:t>
      </w:r>
      <w:r w:rsidRPr="00D61ED2">
        <w:rPr>
          <w:rFonts w:ascii="Arial" w:hAnsi="Arial" w:cs="Arial"/>
          <w:bCs/>
          <w:sz w:val="22"/>
          <w:lang w:eastAsia="zh-CN"/>
        </w:rPr>
        <w:t xml:space="preserve"> has been filed with the U.S. Securities and Exchange Commission (“SEC”), which can be accessed via the following link: </w:t>
      </w:r>
    </w:p>
    <w:p w14:paraId="4EE77A09" w14:textId="77777777" w:rsidR="00D61ED2" w:rsidRDefault="00D61ED2" w:rsidP="00D61ED2">
      <w:pPr>
        <w:tabs>
          <w:tab w:val="left" w:pos="1200"/>
          <w:tab w:val="left" w:pos="6120"/>
        </w:tabs>
        <w:jc w:val="both"/>
        <w:rPr>
          <w:rFonts w:ascii="Arial" w:eastAsia="宋体" w:hAnsi="Arial" w:cs="Arial"/>
          <w:bCs/>
          <w:sz w:val="22"/>
          <w:lang w:eastAsia="zh-CN"/>
        </w:rPr>
      </w:pPr>
    </w:p>
    <w:p w14:paraId="2591CA75" w14:textId="405AFC20" w:rsidR="00D61ED2" w:rsidRDefault="00B81D97" w:rsidP="00D61ED2">
      <w:pPr>
        <w:tabs>
          <w:tab w:val="left" w:pos="1200"/>
          <w:tab w:val="left" w:pos="6120"/>
        </w:tabs>
        <w:jc w:val="both"/>
        <w:rPr>
          <w:rFonts w:ascii="Arial" w:eastAsia="宋体" w:hAnsi="Arial" w:cs="Arial" w:hint="eastAsia"/>
          <w:bCs/>
          <w:sz w:val="22"/>
          <w:lang w:eastAsia="zh-CN"/>
        </w:rPr>
      </w:pPr>
      <w:hyperlink r:id="rId10" w:history="1">
        <w:r w:rsidRPr="00A03A2B">
          <w:rPr>
            <w:rStyle w:val="a5"/>
            <w:rFonts w:ascii="Arial" w:hAnsi="Arial" w:cs="Arial"/>
            <w:bCs/>
            <w:sz w:val="22"/>
            <w:lang w:eastAsia="zh-CN"/>
          </w:rPr>
          <w:t>https://www.sec.gov/Archives/edgar/data/1041668/000114420417022566/v463962_20f.htm</w:t>
        </w:r>
      </w:hyperlink>
    </w:p>
    <w:p w14:paraId="4F15851E" w14:textId="77777777" w:rsidR="00B81D97" w:rsidRPr="00B81D97" w:rsidRDefault="00B81D97" w:rsidP="00D61ED2">
      <w:pPr>
        <w:tabs>
          <w:tab w:val="left" w:pos="1200"/>
          <w:tab w:val="left" w:pos="6120"/>
        </w:tabs>
        <w:jc w:val="both"/>
        <w:rPr>
          <w:rFonts w:ascii="Arial" w:eastAsia="宋体" w:hAnsi="Arial" w:cs="Arial" w:hint="eastAsia"/>
          <w:bCs/>
          <w:sz w:val="22"/>
          <w:lang w:eastAsia="zh-CN"/>
        </w:rPr>
      </w:pPr>
    </w:p>
    <w:p w14:paraId="087382E0" w14:textId="6510C1CB" w:rsidR="002455F4" w:rsidRDefault="00D61ED2" w:rsidP="00D61ED2">
      <w:pPr>
        <w:tabs>
          <w:tab w:val="left" w:pos="1200"/>
          <w:tab w:val="left" w:pos="6120"/>
        </w:tabs>
        <w:jc w:val="both"/>
        <w:rPr>
          <w:rFonts w:ascii="Arial" w:hAnsi="Arial" w:cs="Arial"/>
          <w:bCs/>
          <w:sz w:val="22"/>
          <w:lang w:eastAsia="zh-CN"/>
        </w:rPr>
      </w:pPr>
      <w:r w:rsidRPr="00D61ED2">
        <w:rPr>
          <w:rFonts w:ascii="Arial" w:hAnsi="Arial" w:cs="Arial"/>
          <w:bCs/>
          <w:sz w:val="22"/>
          <w:lang w:eastAsia="zh-CN"/>
        </w:rPr>
        <w:t xml:space="preserve">A hard copy of the Company’s complete audited annual report will be provided to any shareholder, free of charge, upon written request addressed to Company Secretary Office, China Southern Airlines Company Limited, at 278 </w:t>
      </w:r>
      <w:proofErr w:type="spellStart"/>
      <w:r w:rsidRPr="00D61ED2">
        <w:rPr>
          <w:rFonts w:ascii="Arial" w:hAnsi="Arial" w:cs="Arial"/>
          <w:bCs/>
          <w:sz w:val="22"/>
          <w:lang w:eastAsia="zh-CN"/>
        </w:rPr>
        <w:t>Jichang</w:t>
      </w:r>
      <w:proofErr w:type="spellEnd"/>
      <w:r w:rsidRPr="00D61ED2">
        <w:rPr>
          <w:rFonts w:ascii="Arial" w:hAnsi="Arial" w:cs="Arial"/>
          <w:bCs/>
          <w:sz w:val="22"/>
          <w:lang w:eastAsia="zh-CN"/>
        </w:rPr>
        <w:t xml:space="preserve"> Road, Guangzhou 510405 Guangdong Province, the Peoples Republic of China.</w:t>
      </w:r>
    </w:p>
    <w:p w14:paraId="52708478" w14:textId="77777777" w:rsidR="002455F4" w:rsidRDefault="002455F4" w:rsidP="00DD3F24">
      <w:pPr>
        <w:tabs>
          <w:tab w:val="left" w:pos="1200"/>
          <w:tab w:val="left" w:pos="6120"/>
        </w:tabs>
        <w:jc w:val="both"/>
        <w:rPr>
          <w:rFonts w:ascii="Arial" w:eastAsia="宋体" w:hAnsi="Arial" w:cs="Arial"/>
          <w:bCs/>
          <w:sz w:val="22"/>
          <w:lang w:eastAsia="zh-CN"/>
        </w:rPr>
      </w:pPr>
    </w:p>
    <w:p w14:paraId="121B1987" w14:textId="3871BF23" w:rsidR="000C2432" w:rsidRPr="000C2432" w:rsidRDefault="000C2432" w:rsidP="00DD3F24">
      <w:pPr>
        <w:tabs>
          <w:tab w:val="left" w:pos="1200"/>
          <w:tab w:val="left" w:pos="6120"/>
        </w:tabs>
        <w:jc w:val="both"/>
        <w:rPr>
          <w:rFonts w:ascii="Arial" w:eastAsia="宋体" w:hAnsi="Arial" w:cs="Arial"/>
          <w:b/>
          <w:bCs/>
          <w:sz w:val="22"/>
          <w:lang w:eastAsia="zh-CN"/>
        </w:rPr>
      </w:pPr>
      <w:r w:rsidRPr="000C2432">
        <w:rPr>
          <w:rFonts w:ascii="Arial" w:eastAsia="宋体" w:hAnsi="Arial" w:cs="Arial" w:hint="eastAsia"/>
          <w:b/>
          <w:bCs/>
          <w:sz w:val="22"/>
          <w:lang w:eastAsia="zh-CN"/>
        </w:rPr>
        <w:t>General Information</w:t>
      </w:r>
    </w:p>
    <w:p w14:paraId="4196D92B" w14:textId="3BD35A95" w:rsidR="00162836" w:rsidRDefault="001B47B8" w:rsidP="00DD3F24">
      <w:pPr>
        <w:tabs>
          <w:tab w:val="left" w:pos="1200"/>
          <w:tab w:val="left" w:pos="6120"/>
        </w:tabs>
        <w:jc w:val="both"/>
        <w:rPr>
          <w:rFonts w:ascii="Arial" w:hAnsi="Arial" w:cs="Arial"/>
          <w:bCs/>
          <w:sz w:val="22"/>
          <w:lang w:eastAsia="zh-CN"/>
        </w:rPr>
      </w:pPr>
      <w:r>
        <w:rPr>
          <w:rFonts w:ascii="Arial" w:hAnsi="Arial" w:cs="Arial" w:hint="eastAsia"/>
          <w:bCs/>
          <w:sz w:val="22"/>
          <w:lang w:eastAsia="zh-CN"/>
        </w:rPr>
        <w:t>During</w:t>
      </w:r>
      <w:r w:rsidR="002455F4">
        <w:rPr>
          <w:rFonts w:ascii="Arial" w:hAnsi="Arial" w:cs="Arial" w:hint="eastAsia"/>
          <w:bCs/>
          <w:sz w:val="22"/>
          <w:lang w:eastAsia="zh-CN"/>
        </w:rPr>
        <w:t xml:space="preserve"> </w:t>
      </w:r>
      <w:r w:rsidR="003218DB" w:rsidRPr="003218DB">
        <w:rPr>
          <w:rFonts w:ascii="Arial" w:hAnsi="Arial" w:cs="Arial" w:hint="eastAsia"/>
          <w:bCs/>
          <w:sz w:val="22"/>
          <w:lang w:eastAsia="zh-CN"/>
        </w:rPr>
        <w:t>2016</w:t>
      </w:r>
      <w:r w:rsidR="002455F4">
        <w:rPr>
          <w:rFonts w:ascii="Arial" w:hAnsi="Arial" w:cs="Arial" w:hint="eastAsia"/>
          <w:bCs/>
          <w:sz w:val="22"/>
          <w:lang w:eastAsia="zh-CN"/>
        </w:rPr>
        <w:t xml:space="preserve">, the Group </w:t>
      </w:r>
      <w:r w:rsidR="002455F4" w:rsidRPr="002455F4">
        <w:rPr>
          <w:rFonts w:ascii="Arial" w:hAnsi="Arial" w:cs="Arial"/>
          <w:bCs/>
          <w:sz w:val="22"/>
          <w:lang w:eastAsia="zh-CN"/>
        </w:rPr>
        <w:t>recorded</w:t>
      </w:r>
      <w:r>
        <w:rPr>
          <w:rFonts w:ascii="Arial" w:hAnsi="Arial" w:cs="Arial"/>
          <w:bCs/>
          <w:sz w:val="22"/>
          <w:lang w:eastAsia="zh-CN"/>
        </w:rPr>
        <w:t xml:space="preserve"> an operating revenue of RMB114</w:t>
      </w:r>
      <w:proofErr w:type="gramStart"/>
      <w:r>
        <w:rPr>
          <w:rFonts w:ascii="Arial" w:hAnsi="Arial" w:cs="Arial"/>
          <w:bCs/>
          <w:sz w:val="22"/>
          <w:lang w:eastAsia="zh-CN"/>
        </w:rPr>
        <w:t>,981</w:t>
      </w:r>
      <w:proofErr w:type="gramEnd"/>
      <w:r w:rsidR="002455F4" w:rsidRPr="002455F4">
        <w:rPr>
          <w:rFonts w:ascii="Arial" w:hAnsi="Arial" w:cs="Arial"/>
          <w:bCs/>
          <w:sz w:val="22"/>
          <w:lang w:eastAsia="zh-CN"/>
        </w:rPr>
        <w:t xml:space="preserve"> million,</w:t>
      </w:r>
      <w:r w:rsidR="002455F4" w:rsidRPr="002455F4">
        <w:rPr>
          <w:rFonts w:ascii="Arial" w:hAnsi="Arial" w:cs="Arial" w:hint="eastAsia"/>
          <w:bCs/>
          <w:sz w:val="22"/>
          <w:lang w:eastAsia="zh-CN"/>
        </w:rPr>
        <w:t xml:space="preserve"> </w:t>
      </w:r>
      <w:r w:rsidR="002455F4" w:rsidRPr="002455F4">
        <w:rPr>
          <w:rFonts w:ascii="Arial" w:hAnsi="Arial" w:cs="Arial"/>
          <w:bCs/>
          <w:sz w:val="22"/>
          <w:lang w:eastAsia="zh-CN"/>
        </w:rPr>
        <w:t xml:space="preserve">the Group recorded a net profit attributable to equity shareholders of </w:t>
      </w:r>
      <w:r>
        <w:rPr>
          <w:rFonts w:ascii="Arial" w:hAnsi="Arial" w:cs="Arial"/>
          <w:bCs/>
          <w:sz w:val="22"/>
          <w:lang w:eastAsia="zh-CN"/>
        </w:rPr>
        <w:t>the Company of RMB5,</w:t>
      </w:r>
      <w:r w:rsidR="002455F4">
        <w:rPr>
          <w:rFonts w:ascii="Arial" w:hAnsi="Arial" w:cs="Arial"/>
          <w:bCs/>
          <w:sz w:val="22"/>
          <w:lang w:eastAsia="zh-CN"/>
        </w:rPr>
        <w:t>044 million</w:t>
      </w:r>
      <w:r w:rsidR="002455F4">
        <w:rPr>
          <w:rFonts w:ascii="Arial" w:hAnsi="Arial" w:cs="Arial" w:hint="eastAsia"/>
          <w:bCs/>
          <w:sz w:val="22"/>
          <w:lang w:eastAsia="zh-CN"/>
        </w:rPr>
        <w:t xml:space="preserve">. </w:t>
      </w:r>
      <w:proofErr w:type="gramStart"/>
      <w:r w:rsidR="002455F4" w:rsidRPr="008F5CE7">
        <w:rPr>
          <w:rFonts w:ascii="Arial" w:hAnsi="Arial" w:cs="Arial"/>
          <w:bCs/>
          <w:sz w:val="22"/>
          <w:lang w:eastAsia="zh-CN"/>
        </w:rPr>
        <w:t>Earnings per share</w:t>
      </w:r>
      <w:r>
        <w:rPr>
          <w:rFonts w:ascii="Arial" w:hAnsi="Arial" w:cs="Arial" w:hint="eastAsia"/>
          <w:bCs/>
          <w:sz w:val="22"/>
          <w:lang w:eastAsia="zh-CN"/>
        </w:rPr>
        <w:t xml:space="preserve"> was</w:t>
      </w:r>
      <w:proofErr w:type="gramEnd"/>
      <w:r w:rsidR="002455F4" w:rsidRPr="008F5CE7">
        <w:rPr>
          <w:rFonts w:ascii="Arial" w:hAnsi="Arial" w:cs="Arial" w:hint="eastAsia"/>
          <w:bCs/>
          <w:sz w:val="22"/>
          <w:lang w:eastAsia="zh-CN"/>
        </w:rPr>
        <w:t xml:space="preserve"> RMB 0.51</w:t>
      </w:r>
      <w:r w:rsidR="008F5CE7" w:rsidRPr="008F5CE7">
        <w:rPr>
          <w:rFonts w:ascii="Arial" w:hAnsi="Arial" w:cs="Arial" w:hint="eastAsia"/>
          <w:bCs/>
          <w:sz w:val="22"/>
          <w:lang w:eastAsia="zh-CN"/>
        </w:rPr>
        <w:t>. The board of the Company recommend</w:t>
      </w:r>
      <w:r>
        <w:rPr>
          <w:rFonts w:ascii="Arial" w:hAnsi="Arial" w:cs="Arial"/>
          <w:bCs/>
          <w:sz w:val="22"/>
          <w:lang w:eastAsia="zh-CN"/>
        </w:rPr>
        <w:t>ed</w:t>
      </w:r>
      <w:r w:rsidR="008F5CE7" w:rsidRPr="008F5CE7">
        <w:rPr>
          <w:rFonts w:ascii="Arial" w:hAnsi="Arial" w:cs="Arial"/>
          <w:bCs/>
          <w:sz w:val="22"/>
          <w:lang w:eastAsia="zh-CN"/>
        </w:rPr>
        <w:t xml:space="preserve"> the payment of a final dividend of RMB1 (inclusive of applicable tax) </w:t>
      </w:r>
      <w:proofErr w:type="gramStart"/>
      <w:r w:rsidR="008F5CE7" w:rsidRPr="008F5CE7">
        <w:rPr>
          <w:rFonts w:ascii="Arial" w:hAnsi="Arial" w:cs="Arial"/>
          <w:bCs/>
          <w:sz w:val="22"/>
          <w:lang w:eastAsia="zh-CN"/>
        </w:rPr>
        <w:t>per</w:t>
      </w:r>
      <w:proofErr w:type="gramEnd"/>
      <w:r w:rsidR="008F5CE7" w:rsidRPr="008F5CE7">
        <w:rPr>
          <w:rFonts w:ascii="Arial" w:hAnsi="Arial" w:cs="Arial"/>
          <w:bCs/>
          <w:sz w:val="22"/>
          <w:lang w:eastAsia="zh-CN"/>
        </w:rPr>
        <w:t xml:space="preserve"> 10 shares</w:t>
      </w:r>
      <w:r w:rsidR="008F5CE7" w:rsidRPr="008F5CE7">
        <w:rPr>
          <w:rFonts w:ascii="Arial" w:hAnsi="Arial" w:cs="Arial" w:hint="eastAsia"/>
          <w:bCs/>
          <w:sz w:val="22"/>
          <w:lang w:eastAsia="zh-CN"/>
        </w:rPr>
        <w:t>.</w:t>
      </w:r>
    </w:p>
    <w:p w14:paraId="53161DD6" w14:textId="77777777" w:rsidR="008F5CE7" w:rsidRDefault="008F5CE7" w:rsidP="00DD3F24">
      <w:pPr>
        <w:tabs>
          <w:tab w:val="left" w:pos="1200"/>
          <w:tab w:val="left" w:pos="6120"/>
        </w:tabs>
        <w:jc w:val="both"/>
        <w:rPr>
          <w:rFonts w:ascii="Arial" w:hAnsi="Arial" w:cs="Arial"/>
          <w:bCs/>
          <w:sz w:val="22"/>
          <w:lang w:eastAsia="zh-CN"/>
        </w:rPr>
      </w:pPr>
    </w:p>
    <w:p w14:paraId="17FD4056" w14:textId="64C57685" w:rsidR="000C2432" w:rsidRPr="000C2432" w:rsidRDefault="000C2432" w:rsidP="000C2432">
      <w:pPr>
        <w:tabs>
          <w:tab w:val="left" w:pos="1200"/>
          <w:tab w:val="left" w:pos="6120"/>
        </w:tabs>
        <w:jc w:val="both"/>
        <w:rPr>
          <w:rFonts w:ascii="Arial" w:hAnsi="Arial" w:cs="Arial"/>
          <w:bCs/>
          <w:sz w:val="22"/>
          <w:lang w:eastAsia="zh-CN"/>
        </w:rPr>
      </w:pPr>
      <w:r w:rsidRPr="000C2432">
        <w:rPr>
          <w:rFonts w:ascii="Arial" w:hAnsi="Arial" w:cs="Arial"/>
          <w:bCs/>
          <w:sz w:val="22"/>
          <w:lang w:eastAsia="zh-CN"/>
        </w:rPr>
        <w:t>Looking forward to 2017, the Chairman of the Group, Mr. Wang Chang</w:t>
      </w:r>
      <w:r w:rsidR="003218DB">
        <w:rPr>
          <w:rFonts w:ascii="Arial" w:eastAsia="宋体" w:hAnsi="Arial" w:cs="Arial" w:hint="eastAsia"/>
          <w:bCs/>
          <w:sz w:val="22"/>
          <w:lang w:eastAsia="zh-CN"/>
        </w:rPr>
        <w:t xml:space="preserve"> S</w:t>
      </w:r>
      <w:r w:rsidRPr="000C2432">
        <w:rPr>
          <w:rFonts w:ascii="Arial" w:hAnsi="Arial" w:cs="Arial"/>
          <w:bCs/>
          <w:sz w:val="22"/>
          <w:lang w:eastAsia="zh-CN"/>
        </w:rPr>
        <w:t>hun said, “From the global economy perspective, the economy of the world as a whole shows a</w:t>
      </w:r>
    </w:p>
    <w:p w14:paraId="4E36D71E" w14:textId="6999DD02" w:rsidR="00D41275" w:rsidRPr="00CB6835" w:rsidRDefault="000C2432" w:rsidP="000C2432">
      <w:pPr>
        <w:tabs>
          <w:tab w:val="left" w:pos="1200"/>
          <w:tab w:val="left" w:pos="6120"/>
        </w:tabs>
        <w:jc w:val="both"/>
        <w:rPr>
          <w:rFonts w:ascii="Arial" w:hAnsi="Arial" w:cs="Arial"/>
          <w:bCs/>
          <w:sz w:val="22"/>
          <w:lang w:eastAsia="zh-CN"/>
        </w:rPr>
      </w:pPr>
      <w:proofErr w:type="gramStart"/>
      <w:r w:rsidRPr="000C2432">
        <w:rPr>
          <w:rFonts w:ascii="Arial" w:hAnsi="Arial" w:cs="Arial"/>
          <w:bCs/>
          <w:sz w:val="22"/>
          <w:lang w:eastAsia="zh-CN"/>
        </w:rPr>
        <w:t>sluggish</w:t>
      </w:r>
      <w:proofErr w:type="gramEnd"/>
      <w:r w:rsidRPr="000C2432">
        <w:rPr>
          <w:rFonts w:ascii="Arial" w:hAnsi="Arial" w:cs="Arial"/>
          <w:bCs/>
          <w:sz w:val="22"/>
          <w:lang w:eastAsia="zh-CN"/>
        </w:rPr>
        <w:t xml:space="preserve"> growth, Chinese economy will be able to maintain a mid-to-high-speed growth under the new normal, and that will continue to rank the forefront of the world’s major economies in terms of economic growth. Under the general principle of “Steady Progress”, the strategic concept of “Safety First” and the strategic guideline of “Market Orientation”, the Group will endeavor to create a strategic layout of “Dual Hubs” of Guangzhou-Beijing. From the industry perspective, under the upgrade of consumption structure of citizens and the golden development period of tourism industry in the golden period of development, China's civil aviation industry is still in the period with promising strategic opportunities with vast market potential. Strategy comes first in terms of corporate development</w:t>
      </w:r>
      <w:proofErr w:type="gramStart"/>
      <w:r w:rsidRPr="000C2432">
        <w:rPr>
          <w:rFonts w:ascii="Arial" w:hAnsi="Arial" w:cs="Arial"/>
          <w:bCs/>
          <w:sz w:val="22"/>
          <w:lang w:eastAsia="zh-CN"/>
        </w:rPr>
        <w:t>,  the</w:t>
      </w:r>
      <w:proofErr w:type="gramEnd"/>
      <w:r w:rsidRPr="000C2432">
        <w:rPr>
          <w:rFonts w:ascii="Arial" w:hAnsi="Arial" w:cs="Arial"/>
          <w:bCs/>
          <w:sz w:val="22"/>
          <w:lang w:eastAsia="zh-CN"/>
        </w:rPr>
        <w:t xml:space="preserve"> Group will adhere firmly to the strategic orientation of standardization, integration, intellectualization and </w:t>
      </w:r>
      <w:r w:rsidRPr="000C2432">
        <w:rPr>
          <w:rFonts w:ascii="Arial" w:hAnsi="Arial" w:cs="Arial"/>
          <w:bCs/>
          <w:sz w:val="22"/>
          <w:lang w:eastAsia="zh-CN"/>
        </w:rPr>
        <w:lastRenderedPageBreak/>
        <w:t>internationalization, the Group will deepen the reform and keep on implementing its strategies to ensure aviation safety and excellent performance. The Group is marching forward to the goal of becoming a world first-class aviation industry group with international competitiveness, striving to offer returns to its shareholders and the society with better performance.</w:t>
      </w:r>
    </w:p>
    <w:p w14:paraId="28E78486" w14:textId="77777777" w:rsidR="00B7309D" w:rsidRPr="00CB6835" w:rsidRDefault="00B7309D" w:rsidP="00CB6835">
      <w:pPr>
        <w:tabs>
          <w:tab w:val="left" w:pos="1200"/>
          <w:tab w:val="left" w:pos="6120"/>
        </w:tabs>
        <w:jc w:val="both"/>
        <w:rPr>
          <w:rFonts w:ascii="Arial" w:hAnsi="Arial" w:cs="Arial"/>
          <w:bCs/>
          <w:sz w:val="22"/>
          <w:lang w:eastAsia="zh-CN"/>
        </w:rPr>
      </w:pPr>
    </w:p>
    <w:p w14:paraId="54D3CE5D" w14:textId="77777777" w:rsidR="00DA06D9" w:rsidRDefault="00162836" w:rsidP="00DA06D9">
      <w:pPr>
        <w:autoSpaceDE w:val="0"/>
        <w:autoSpaceDN w:val="0"/>
        <w:adjustRightInd w:val="0"/>
        <w:spacing w:line="276" w:lineRule="auto"/>
        <w:jc w:val="center"/>
        <w:rPr>
          <w:rFonts w:ascii="Arial" w:eastAsia="PMingLiU" w:hAnsi="Arial" w:cs="Arial"/>
          <w:bCs/>
          <w:sz w:val="22"/>
        </w:rPr>
      </w:pPr>
      <w:r>
        <w:rPr>
          <w:rFonts w:ascii="Arial" w:hAnsi="Arial" w:cs="Arial"/>
          <w:bCs/>
          <w:sz w:val="22"/>
        </w:rPr>
        <w:t xml:space="preserve">– </w:t>
      </w:r>
      <w:r w:rsidR="00DA06D9" w:rsidRPr="00636286">
        <w:rPr>
          <w:rFonts w:ascii="Arial" w:hAnsi="Arial" w:cs="Arial"/>
          <w:bCs/>
          <w:sz w:val="22"/>
        </w:rPr>
        <w:t>End</w:t>
      </w:r>
      <w:r w:rsidR="00CB6835">
        <w:rPr>
          <w:rFonts w:ascii="Arial" w:hAnsi="Arial" w:cs="Arial"/>
          <w:bCs/>
          <w:sz w:val="22"/>
        </w:rPr>
        <w:t>s</w:t>
      </w:r>
      <w:r w:rsidR="00DD3F24">
        <w:rPr>
          <w:rFonts w:ascii="Arial" w:hAnsi="Arial" w:cs="Arial"/>
          <w:bCs/>
          <w:sz w:val="22"/>
        </w:rPr>
        <w:t>–</w:t>
      </w:r>
    </w:p>
    <w:p w14:paraId="5CA09CC7" w14:textId="77777777" w:rsidR="00DD3F24" w:rsidRDefault="00DD3F24" w:rsidP="00DD3F24">
      <w:pPr>
        <w:autoSpaceDE w:val="0"/>
        <w:autoSpaceDN w:val="0"/>
        <w:adjustRightInd w:val="0"/>
        <w:spacing w:line="276" w:lineRule="auto"/>
        <w:rPr>
          <w:rFonts w:ascii="Arial" w:eastAsia="PMingLiU" w:hAnsi="Arial" w:cs="Arial"/>
          <w:bCs/>
          <w:sz w:val="22"/>
        </w:rPr>
      </w:pPr>
    </w:p>
    <w:p w14:paraId="18AB53B7" w14:textId="77777777" w:rsidR="00DA06D9" w:rsidRPr="00636286" w:rsidRDefault="00B30365" w:rsidP="00E46672">
      <w:pPr>
        <w:pStyle w:val="ecxdefault"/>
        <w:adjustRightInd w:val="0"/>
        <w:snapToGrid w:val="0"/>
        <w:spacing w:after="0"/>
        <w:jc w:val="both"/>
        <w:rPr>
          <w:rFonts w:ascii="Arial" w:eastAsiaTheme="majorEastAsia" w:hAnsi="Arial" w:cs="Arial"/>
          <w:sz w:val="22"/>
          <w:szCs w:val="22"/>
        </w:rPr>
      </w:pPr>
      <w:r w:rsidRPr="00B30365">
        <w:rPr>
          <w:rFonts w:ascii="Arial" w:eastAsiaTheme="majorEastAsia" w:hAnsi="Arial" w:cs="Arial"/>
          <w:b/>
          <w:snapToGrid w:val="0"/>
          <w:sz w:val="22"/>
          <w:szCs w:val="22"/>
          <w:u w:val="single"/>
        </w:rPr>
        <w:t>About China Southern Airlines Company Limited</w:t>
      </w:r>
    </w:p>
    <w:p w14:paraId="7FB749A6" w14:textId="77777777" w:rsidR="00B30365" w:rsidRDefault="00B30365" w:rsidP="00E46672">
      <w:pPr>
        <w:pStyle w:val="ecxdefault"/>
        <w:adjustRightInd w:val="0"/>
        <w:snapToGrid w:val="0"/>
        <w:spacing w:after="0"/>
        <w:jc w:val="both"/>
        <w:rPr>
          <w:rFonts w:ascii="Arial" w:eastAsia="PMingLiU" w:hAnsi="Arial" w:cs="Arial"/>
          <w:sz w:val="22"/>
          <w:szCs w:val="22"/>
        </w:rPr>
      </w:pPr>
    </w:p>
    <w:p w14:paraId="55E8D1D4" w14:textId="1383EC42" w:rsidR="000C2432" w:rsidRDefault="00A2316F" w:rsidP="00B30365">
      <w:pPr>
        <w:pStyle w:val="Default"/>
        <w:jc w:val="both"/>
        <w:rPr>
          <w:rFonts w:ascii="Arial" w:eastAsia="宋体" w:hAnsi="Arial" w:cs="Arial"/>
          <w:color w:val="auto"/>
          <w:sz w:val="22"/>
          <w:szCs w:val="22"/>
          <w:lang w:eastAsia="zh-CN"/>
        </w:rPr>
      </w:pPr>
      <w:r w:rsidRPr="00A2316F">
        <w:rPr>
          <w:rFonts w:ascii="Arial" w:eastAsiaTheme="majorEastAsia" w:hAnsi="Arial" w:cs="Arial"/>
          <w:color w:val="auto"/>
          <w:sz w:val="22"/>
          <w:szCs w:val="22"/>
        </w:rPr>
        <w:t>Listed on Hong Kong Stock Exchange, New York Stock Exchange and Shanghai Stock Exchange (respective stock code: 1055.HK, ZNH.N, 600029.SH) with headquarters based in Guangzhou, China Southern Airlines’ company logo can be seen around the globe with a brilliant red kapok delicately adoring a blue vertical tail fin. The general strategic goal of the Group is to establish itself into influential international airlines with an extensive network; to form a developed route network covering China, and the rest of Asia, and effectively connecting Europe, America, Australasia and Africa. Through close cooperation with members from the SKYTEAM, the Group connected 1,062 destinations in 177 countries and regions.</w:t>
      </w:r>
      <w:r w:rsidR="000C2432">
        <w:rPr>
          <w:rFonts w:ascii="Arial" w:eastAsia="宋体" w:hAnsi="Arial" w:cs="Arial" w:hint="eastAsia"/>
          <w:color w:val="auto"/>
          <w:sz w:val="22"/>
          <w:szCs w:val="22"/>
          <w:lang w:eastAsia="zh-CN"/>
        </w:rPr>
        <w:t xml:space="preserve"> For further information, please visit the Company website: </w:t>
      </w:r>
      <w:hyperlink r:id="rId11" w:history="1">
        <w:r w:rsidR="000C2432" w:rsidRPr="00B571F5">
          <w:rPr>
            <w:rStyle w:val="a5"/>
            <w:rFonts w:ascii="Arial" w:eastAsia="宋体" w:hAnsi="Arial" w:cs="Arial" w:hint="eastAsia"/>
            <w:sz w:val="22"/>
            <w:szCs w:val="22"/>
            <w:lang w:eastAsia="zh-CN"/>
          </w:rPr>
          <w:t>http://www.csair.com</w:t>
        </w:r>
      </w:hyperlink>
      <w:r w:rsidR="000C2432">
        <w:rPr>
          <w:rFonts w:ascii="Arial" w:eastAsia="宋体" w:hAnsi="Arial" w:cs="Arial" w:hint="eastAsia"/>
          <w:color w:val="auto"/>
          <w:sz w:val="22"/>
          <w:szCs w:val="22"/>
          <w:lang w:eastAsia="zh-CN"/>
        </w:rPr>
        <w:t xml:space="preserve">. Contact Email of Investor Relations: </w:t>
      </w:r>
      <w:hyperlink r:id="rId12" w:history="1">
        <w:r w:rsidR="000C6CAB" w:rsidRPr="00671F04">
          <w:rPr>
            <w:rStyle w:val="a5"/>
            <w:rFonts w:ascii="Arial" w:eastAsia="宋体" w:hAnsi="Arial" w:cs="Arial" w:hint="eastAsia"/>
            <w:sz w:val="22"/>
            <w:szCs w:val="22"/>
            <w:lang w:eastAsia="zh-CN"/>
          </w:rPr>
          <w:t>ir@csair.com</w:t>
        </w:r>
      </w:hyperlink>
    </w:p>
    <w:p w14:paraId="0054EF2E" w14:textId="77777777" w:rsidR="000C6CAB" w:rsidRDefault="000C6CAB" w:rsidP="00B30365">
      <w:pPr>
        <w:pStyle w:val="Default"/>
        <w:jc w:val="both"/>
        <w:rPr>
          <w:rFonts w:ascii="Arial" w:eastAsia="宋体" w:hAnsi="Arial" w:cs="Arial"/>
          <w:color w:val="auto"/>
          <w:sz w:val="22"/>
          <w:szCs w:val="22"/>
          <w:lang w:eastAsia="zh-CN"/>
        </w:rPr>
      </w:pPr>
    </w:p>
    <w:p w14:paraId="7DF80DE7" w14:textId="77777777" w:rsidR="000C6CAB" w:rsidRPr="000C6CAB" w:rsidRDefault="000C6CAB" w:rsidP="000C6CAB">
      <w:pPr>
        <w:pStyle w:val="Default"/>
        <w:jc w:val="both"/>
        <w:rPr>
          <w:rFonts w:ascii="Arial" w:eastAsia="宋体" w:hAnsi="Arial" w:cs="Arial"/>
          <w:b/>
          <w:color w:val="auto"/>
          <w:sz w:val="22"/>
          <w:szCs w:val="22"/>
          <w:lang w:eastAsia="zh-CN"/>
        </w:rPr>
      </w:pPr>
      <w:r w:rsidRPr="000C6CAB">
        <w:rPr>
          <w:rFonts w:ascii="Arial" w:eastAsia="宋体" w:hAnsi="Arial" w:cs="Arial"/>
          <w:b/>
          <w:color w:val="auto"/>
          <w:sz w:val="22"/>
          <w:szCs w:val="22"/>
          <w:lang w:eastAsia="zh-CN"/>
        </w:rPr>
        <w:t xml:space="preserve">Safe Harbor and Informational Statements </w:t>
      </w:r>
    </w:p>
    <w:p w14:paraId="303A5CE4" w14:textId="77777777" w:rsidR="000C6CAB" w:rsidRPr="000C6CAB" w:rsidRDefault="000C6CAB" w:rsidP="000C6CAB">
      <w:pPr>
        <w:pStyle w:val="Default"/>
        <w:jc w:val="both"/>
        <w:rPr>
          <w:rFonts w:ascii="Arial" w:eastAsia="宋体" w:hAnsi="Arial" w:cs="Arial"/>
          <w:color w:val="auto"/>
          <w:sz w:val="22"/>
          <w:szCs w:val="22"/>
          <w:lang w:eastAsia="zh-CN"/>
        </w:rPr>
      </w:pPr>
      <w:r w:rsidRPr="000C6CAB">
        <w:rPr>
          <w:rFonts w:ascii="Arial" w:eastAsia="宋体" w:hAnsi="Arial" w:cs="Arial"/>
          <w:color w:val="auto"/>
          <w:sz w:val="22"/>
          <w:szCs w:val="22"/>
          <w:lang w:eastAsia="zh-CN"/>
        </w:rPr>
        <w:t xml:space="preserve"> </w:t>
      </w:r>
    </w:p>
    <w:p w14:paraId="470B4F08" w14:textId="4A0A67FA" w:rsidR="000C6CAB" w:rsidRDefault="000C6CAB" w:rsidP="000C6CAB">
      <w:pPr>
        <w:pStyle w:val="Default"/>
        <w:jc w:val="both"/>
        <w:rPr>
          <w:rFonts w:ascii="Arial" w:eastAsia="宋体" w:hAnsi="Arial" w:cs="Arial"/>
          <w:color w:val="auto"/>
          <w:sz w:val="22"/>
          <w:szCs w:val="22"/>
          <w:lang w:eastAsia="zh-CN"/>
        </w:rPr>
      </w:pPr>
      <w:r w:rsidRPr="000C6CAB">
        <w:rPr>
          <w:rFonts w:ascii="Arial" w:eastAsia="宋体" w:hAnsi="Arial" w:cs="Arial"/>
          <w:color w:val="auto"/>
          <w:sz w:val="22"/>
          <w:szCs w:val="22"/>
          <w:lang w:eastAsia="zh-CN"/>
        </w:rPr>
        <w:t>This press release contains forward-looking statements within the meaning of Section 27A of the Securities Act of 1933, as amended, and Section 21E of the Securities Exchange Act of 1934, as amended, and as defined in the U.S. Private Securities Litigation Reform Act of 1995. These forward-looking statements can be identified by terminology such as “if,” “will,” “expect,” and similar statements. Forward-looking statements involve inherent risks, uncertainties and assumptions. Further information regarding these and other risks is included in the Company's filings with the U.S. Securities and Exchange Commission. These forward-looking statements reflect the Company’s expectations as of the date of this press release. You should not rely upon these forward-looking statements as predictions of future events. The Company does not undertake any obligation to update any forward-looking statement, except as required under applicable law.</w:t>
      </w:r>
    </w:p>
    <w:p w14:paraId="27D00874" w14:textId="77777777" w:rsidR="00B30365" w:rsidRPr="00B30365" w:rsidRDefault="00B30365" w:rsidP="00B30365">
      <w:pPr>
        <w:pStyle w:val="Default"/>
        <w:jc w:val="both"/>
        <w:rPr>
          <w:rFonts w:ascii="Arial" w:eastAsia="PMingLiU" w:hAnsi="Arial" w:cs="Arial"/>
          <w:sz w:val="22"/>
          <w:szCs w:val="22"/>
        </w:rPr>
      </w:pPr>
    </w:p>
    <w:p w14:paraId="61980313" w14:textId="77777777" w:rsidR="00DA06D9" w:rsidRPr="00A2316F" w:rsidRDefault="00DA06D9" w:rsidP="00DA06D9">
      <w:pPr>
        <w:tabs>
          <w:tab w:val="left" w:pos="3570"/>
        </w:tabs>
        <w:rPr>
          <w:rFonts w:ascii="Arial" w:eastAsia="PMingLiU" w:hAnsi="Arial" w:cs="Arial"/>
        </w:rPr>
      </w:pPr>
    </w:p>
    <w:sectPr w:rsidR="00DA06D9" w:rsidRPr="00A2316F" w:rsidSect="00652A4A">
      <w:headerReference w:type="default" r:id="rId13"/>
      <w:footerReference w:type="default" r:id="rId14"/>
      <w:footerReference w:type="first" r:id="rId15"/>
      <w:pgSz w:w="11906" w:h="16838"/>
      <w:pgMar w:top="1440" w:right="1800" w:bottom="1134" w:left="1800" w:header="851" w:footer="476"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4AD0B" w14:textId="77777777" w:rsidR="00947BF3" w:rsidRDefault="00947BF3" w:rsidP="00381FF1">
      <w:r>
        <w:separator/>
      </w:r>
    </w:p>
  </w:endnote>
  <w:endnote w:type="continuationSeparator" w:id="0">
    <w:p w14:paraId="2202AABC" w14:textId="77777777" w:rsidR="00947BF3" w:rsidRDefault="00947BF3" w:rsidP="0038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DFKai-SB">
    <w:altName w:val="標楷體"/>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9A8D0" w14:textId="77777777" w:rsidR="005E11FD" w:rsidRDefault="005E11FD" w:rsidP="00381FF1">
    <w:pPr>
      <w:pStyle w:val="a8"/>
      <w:wordWrap w:val="0"/>
      <w:jc w:val="right"/>
    </w:pPr>
    <w:r>
      <w:rPr>
        <w:rFonts w:hint="eastAsia"/>
      </w:rPr>
      <w:t xml:space="preserve">Page </w:t>
    </w:r>
    <w:sdt>
      <w:sdtPr>
        <w:id w:val="-1590228042"/>
        <w:docPartObj>
          <w:docPartGallery w:val="Page Numbers (Bottom of Page)"/>
          <w:docPartUnique/>
        </w:docPartObj>
      </w:sdtPr>
      <w:sdtEndPr/>
      <w:sdtContent>
        <w:r>
          <w:fldChar w:fldCharType="begin"/>
        </w:r>
        <w:r>
          <w:instrText>PAGE   \* MERGEFORMAT</w:instrText>
        </w:r>
        <w:r>
          <w:fldChar w:fldCharType="separate"/>
        </w:r>
        <w:r w:rsidR="00B81D97" w:rsidRPr="00B81D97">
          <w:rPr>
            <w:noProof/>
            <w:lang w:val="zh-TW"/>
          </w:rPr>
          <w:t>2</w:t>
        </w:r>
        <w:r>
          <w:fldChar w:fldCharType="end"/>
        </w:r>
        <w:r>
          <w:rPr>
            <w:rFonts w:hint="eastAsia"/>
          </w:rPr>
          <w:t xml:space="preserve"> of </w:t>
        </w:r>
        <w:r>
          <w:rPr>
            <w:rFonts w:eastAsia="PMingLiU" w:hint="eastAsia"/>
          </w:rPr>
          <w:t>2</w:t>
        </w:r>
      </w:sdtContent>
    </w:sdt>
  </w:p>
  <w:p w14:paraId="1EBDE491" w14:textId="77777777" w:rsidR="005E11FD" w:rsidRDefault="005E11F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3AF56" w14:textId="77777777" w:rsidR="005E11FD" w:rsidRDefault="005E11FD" w:rsidP="00652A4A">
    <w:pPr>
      <w:pStyle w:val="a8"/>
      <w:wordWrap w:val="0"/>
      <w:jc w:val="right"/>
    </w:pPr>
    <w:r>
      <w:rPr>
        <w:rFonts w:hint="eastAsia"/>
      </w:rPr>
      <w:t xml:space="preserve">Page </w:t>
    </w:r>
    <w:sdt>
      <w:sdtPr>
        <w:id w:val="-1467356898"/>
        <w:docPartObj>
          <w:docPartGallery w:val="Page Numbers (Bottom of Page)"/>
          <w:docPartUnique/>
        </w:docPartObj>
      </w:sdtPr>
      <w:sdtEndPr/>
      <w:sdtContent>
        <w:r>
          <w:fldChar w:fldCharType="begin"/>
        </w:r>
        <w:r>
          <w:instrText>PAGE   \* MERGEFORMAT</w:instrText>
        </w:r>
        <w:r>
          <w:fldChar w:fldCharType="separate"/>
        </w:r>
        <w:r w:rsidR="00B81D97" w:rsidRPr="00B81D97">
          <w:rPr>
            <w:noProof/>
            <w:lang w:val="zh-TW"/>
          </w:rPr>
          <w:t>1</w:t>
        </w:r>
        <w:r>
          <w:fldChar w:fldCharType="end"/>
        </w:r>
        <w:r>
          <w:rPr>
            <w:rFonts w:hint="eastAsia"/>
          </w:rPr>
          <w:t xml:space="preserve"> of </w:t>
        </w:r>
        <w:r>
          <w:rPr>
            <w:rFonts w:eastAsia="PMingLiU" w:hint="eastAsia"/>
          </w:rPr>
          <w:t>2</w:t>
        </w:r>
      </w:sdtContent>
    </w:sdt>
  </w:p>
  <w:p w14:paraId="44CA381B" w14:textId="77777777" w:rsidR="005E11FD" w:rsidRDefault="005E11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8FEB3" w14:textId="77777777" w:rsidR="00947BF3" w:rsidRDefault="00947BF3" w:rsidP="00381FF1">
      <w:r>
        <w:separator/>
      </w:r>
    </w:p>
  </w:footnote>
  <w:footnote w:type="continuationSeparator" w:id="0">
    <w:p w14:paraId="6815C77D" w14:textId="77777777" w:rsidR="00947BF3" w:rsidRDefault="00947BF3" w:rsidP="00381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45364" w14:textId="77777777" w:rsidR="005E11FD" w:rsidRDefault="005E11FD" w:rsidP="00652A4A">
    <w:pPr>
      <w:pStyle w:val="a7"/>
      <w:jc w:val="right"/>
      <w:rPr>
        <w:rFonts w:eastAsia="PMingLiU"/>
        <w:i/>
      </w:rPr>
    </w:pPr>
    <w:r>
      <w:rPr>
        <w:rFonts w:eastAsia="PMingLiU" w:hint="eastAsia"/>
        <w:i/>
      </w:rPr>
      <w:t>China Southern Airlines Company Limited</w:t>
    </w:r>
  </w:p>
  <w:p w14:paraId="78502687" w14:textId="77777777" w:rsidR="005E11FD" w:rsidRDefault="005E11FD" w:rsidP="00652A4A">
    <w:pPr>
      <w:pStyle w:val="a7"/>
      <w:wordWrap w:val="0"/>
      <w:jc w:val="right"/>
      <w:rPr>
        <w:rFonts w:eastAsia="PMingLiU"/>
        <w:i/>
      </w:rPr>
    </w:pPr>
    <w:r>
      <w:rPr>
        <w:rFonts w:eastAsia="PMingLiU" w:hint="eastAsia"/>
        <w:i/>
      </w:rPr>
      <w:t xml:space="preserve">2016 </w:t>
    </w:r>
    <w:r>
      <w:rPr>
        <w:rFonts w:hint="eastAsia"/>
        <w:i/>
        <w:lang w:eastAsia="zh-CN"/>
      </w:rPr>
      <w:t>Annual</w:t>
    </w:r>
    <w:r>
      <w:rPr>
        <w:rFonts w:eastAsia="PMingLiU" w:hint="eastAsia"/>
        <w:i/>
      </w:rPr>
      <w:t xml:space="preserve"> Results Announcement</w:t>
    </w:r>
  </w:p>
  <w:p w14:paraId="35E2F085" w14:textId="77777777" w:rsidR="005E11FD" w:rsidRPr="00A2316F" w:rsidRDefault="005E11FD" w:rsidP="00652A4A">
    <w:pPr>
      <w:pStyle w:val="a7"/>
      <w:wordWrap w:val="0"/>
      <w:jc w:val="right"/>
      <w:rPr>
        <w:i/>
        <w:lang w:eastAsia="zh-CN"/>
      </w:rPr>
    </w:pPr>
    <w:r>
      <w:rPr>
        <w:rFonts w:hint="eastAsia"/>
        <w:i/>
        <w:lang w:eastAsia="zh-CN"/>
      </w:rPr>
      <w:t>30 March 2017</w:t>
    </w:r>
  </w:p>
  <w:p w14:paraId="5E31F24F" w14:textId="77777777" w:rsidR="005E11FD" w:rsidRPr="00652A4A" w:rsidRDefault="005E11FD" w:rsidP="00652A4A">
    <w:pPr>
      <w:pStyle w:val="a7"/>
      <w:jc w:val="right"/>
      <w:rPr>
        <w:rFonts w:eastAsia="PMingLiU"/>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265A4"/>
    <w:multiLevelType w:val="hybridMultilevel"/>
    <w:tmpl w:val="AB9873D8"/>
    <w:lvl w:ilvl="0" w:tplc="7D083304">
      <w:start w:val="1"/>
      <w:numFmt w:val="bullet"/>
      <w:lvlText w:val="-"/>
      <w:lvlJc w:val="left"/>
      <w:pPr>
        <w:ind w:left="720" w:hanging="360"/>
      </w:pPr>
      <w:rPr>
        <w:rFonts w:ascii="Arial" w:eastAsia="DFKai-SB"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B3795"/>
    <w:multiLevelType w:val="hybridMultilevel"/>
    <w:tmpl w:val="1CAC428C"/>
    <w:lvl w:ilvl="0" w:tplc="0FBCFD04">
      <w:start w:val="18"/>
      <w:numFmt w:val="bullet"/>
      <w:lvlText w:val="-"/>
      <w:lvlJc w:val="left"/>
      <w:pPr>
        <w:ind w:left="360" w:hanging="360"/>
      </w:pPr>
      <w:rPr>
        <w:rFonts w:ascii="Arial" w:eastAsia="DFKai-SB"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27944D2"/>
    <w:multiLevelType w:val="hybridMultilevel"/>
    <w:tmpl w:val="C142B438"/>
    <w:lvl w:ilvl="0" w:tplc="7794E384">
      <w:start w:val="1"/>
      <w:numFmt w:val="bullet"/>
      <w:lvlText w:val="•"/>
      <w:lvlJc w:val="left"/>
      <w:pPr>
        <w:tabs>
          <w:tab w:val="num" w:pos="720"/>
        </w:tabs>
        <w:ind w:left="720" w:hanging="360"/>
      </w:pPr>
      <w:rPr>
        <w:rFonts w:ascii="Arial" w:hAnsi="Arial" w:hint="default"/>
      </w:rPr>
    </w:lvl>
    <w:lvl w:ilvl="1" w:tplc="CC36BCAC" w:tentative="1">
      <w:start w:val="1"/>
      <w:numFmt w:val="bullet"/>
      <w:lvlText w:val="•"/>
      <w:lvlJc w:val="left"/>
      <w:pPr>
        <w:tabs>
          <w:tab w:val="num" w:pos="1440"/>
        </w:tabs>
        <w:ind w:left="1440" w:hanging="360"/>
      </w:pPr>
      <w:rPr>
        <w:rFonts w:ascii="Arial" w:hAnsi="Arial" w:hint="default"/>
      </w:rPr>
    </w:lvl>
    <w:lvl w:ilvl="2" w:tplc="8F02BBAA" w:tentative="1">
      <w:start w:val="1"/>
      <w:numFmt w:val="bullet"/>
      <w:lvlText w:val="•"/>
      <w:lvlJc w:val="left"/>
      <w:pPr>
        <w:tabs>
          <w:tab w:val="num" w:pos="2160"/>
        </w:tabs>
        <w:ind w:left="2160" w:hanging="360"/>
      </w:pPr>
      <w:rPr>
        <w:rFonts w:ascii="Arial" w:hAnsi="Arial" w:hint="default"/>
      </w:rPr>
    </w:lvl>
    <w:lvl w:ilvl="3" w:tplc="EF0659B6" w:tentative="1">
      <w:start w:val="1"/>
      <w:numFmt w:val="bullet"/>
      <w:lvlText w:val="•"/>
      <w:lvlJc w:val="left"/>
      <w:pPr>
        <w:tabs>
          <w:tab w:val="num" w:pos="2880"/>
        </w:tabs>
        <w:ind w:left="2880" w:hanging="360"/>
      </w:pPr>
      <w:rPr>
        <w:rFonts w:ascii="Arial" w:hAnsi="Arial" w:hint="default"/>
      </w:rPr>
    </w:lvl>
    <w:lvl w:ilvl="4" w:tplc="038674C0" w:tentative="1">
      <w:start w:val="1"/>
      <w:numFmt w:val="bullet"/>
      <w:lvlText w:val="•"/>
      <w:lvlJc w:val="left"/>
      <w:pPr>
        <w:tabs>
          <w:tab w:val="num" w:pos="3600"/>
        </w:tabs>
        <w:ind w:left="3600" w:hanging="360"/>
      </w:pPr>
      <w:rPr>
        <w:rFonts w:ascii="Arial" w:hAnsi="Arial" w:hint="default"/>
      </w:rPr>
    </w:lvl>
    <w:lvl w:ilvl="5" w:tplc="6CBC017E" w:tentative="1">
      <w:start w:val="1"/>
      <w:numFmt w:val="bullet"/>
      <w:lvlText w:val="•"/>
      <w:lvlJc w:val="left"/>
      <w:pPr>
        <w:tabs>
          <w:tab w:val="num" w:pos="4320"/>
        </w:tabs>
        <w:ind w:left="4320" w:hanging="360"/>
      </w:pPr>
      <w:rPr>
        <w:rFonts w:ascii="Arial" w:hAnsi="Arial" w:hint="default"/>
      </w:rPr>
    </w:lvl>
    <w:lvl w:ilvl="6" w:tplc="847E6AC2" w:tentative="1">
      <w:start w:val="1"/>
      <w:numFmt w:val="bullet"/>
      <w:lvlText w:val="•"/>
      <w:lvlJc w:val="left"/>
      <w:pPr>
        <w:tabs>
          <w:tab w:val="num" w:pos="5040"/>
        </w:tabs>
        <w:ind w:left="5040" w:hanging="360"/>
      </w:pPr>
      <w:rPr>
        <w:rFonts w:ascii="Arial" w:hAnsi="Arial" w:hint="default"/>
      </w:rPr>
    </w:lvl>
    <w:lvl w:ilvl="7" w:tplc="3148EAB8" w:tentative="1">
      <w:start w:val="1"/>
      <w:numFmt w:val="bullet"/>
      <w:lvlText w:val="•"/>
      <w:lvlJc w:val="left"/>
      <w:pPr>
        <w:tabs>
          <w:tab w:val="num" w:pos="5760"/>
        </w:tabs>
        <w:ind w:left="5760" w:hanging="360"/>
      </w:pPr>
      <w:rPr>
        <w:rFonts w:ascii="Arial" w:hAnsi="Arial" w:hint="default"/>
      </w:rPr>
    </w:lvl>
    <w:lvl w:ilvl="8" w:tplc="52645974" w:tentative="1">
      <w:start w:val="1"/>
      <w:numFmt w:val="bullet"/>
      <w:lvlText w:val="•"/>
      <w:lvlJc w:val="left"/>
      <w:pPr>
        <w:tabs>
          <w:tab w:val="num" w:pos="6480"/>
        </w:tabs>
        <w:ind w:left="6480" w:hanging="360"/>
      </w:pPr>
      <w:rPr>
        <w:rFonts w:ascii="Arial" w:hAnsi="Arial" w:hint="default"/>
      </w:rPr>
    </w:lvl>
  </w:abstractNum>
  <w:abstractNum w:abstractNumId="3">
    <w:nsid w:val="588B0E45"/>
    <w:multiLevelType w:val="hybridMultilevel"/>
    <w:tmpl w:val="06DEDBAC"/>
    <w:lvl w:ilvl="0" w:tplc="583EA8BE">
      <w:start w:val="16"/>
      <w:numFmt w:val="bullet"/>
      <w:lvlText w:val="-"/>
      <w:lvlJc w:val="left"/>
      <w:pPr>
        <w:ind w:left="360" w:hanging="360"/>
      </w:pPr>
      <w:rPr>
        <w:rFonts w:ascii="Arial" w:eastAsia="DFKai-SB"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2F"/>
    <w:rsid w:val="00003C94"/>
    <w:rsid w:val="000744C9"/>
    <w:rsid w:val="000A2424"/>
    <w:rsid w:val="000B2A9D"/>
    <w:rsid w:val="000B70D8"/>
    <w:rsid w:val="000C2432"/>
    <w:rsid w:val="000C6CAB"/>
    <w:rsid w:val="000D2745"/>
    <w:rsid w:val="000D5EDE"/>
    <w:rsid w:val="000F019D"/>
    <w:rsid w:val="000F6205"/>
    <w:rsid w:val="000F7127"/>
    <w:rsid w:val="000F7924"/>
    <w:rsid w:val="001173E4"/>
    <w:rsid w:val="00127044"/>
    <w:rsid w:val="00141A0D"/>
    <w:rsid w:val="00162836"/>
    <w:rsid w:val="00193551"/>
    <w:rsid w:val="001A478A"/>
    <w:rsid w:val="001B47B8"/>
    <w:rsid w:val="001D4459"/>
    <w:rsid w:val="00244AF4"/>
    <w:rsid w:val="002455F4"/>
    <w:rsid w:val="00253B41"/>
    <w:rsid w:val="002A08CF"/>
    <w:rsid w:val="002A4D8E"/>
    <w:rsid w:val="002B4851"/>
    <w:rsid w:val="002C1330"/>
    <w:rsid w:val="002C2F93"/>
    <w:rsid w:val="002C7F84"/>
    <w:rsid w:val="002D7E66"/>
    <w:rsid w:val="002F42D3"/>
    <w:rsid w:val="00317F75"/>
    <w:rsid w:val="003218DB"/>
    <w:rsid w:val="0032226A"/>
    <w:rsid w:val="003271E9"/>
    <w:rsid w:val="00356086"/>
    <w:rsid w:val="003603CE"/>
    <w:rsid w:val="00365254"/>
    <w:rsid w:val="00381FF1"/>
    <w:rsid w:val="00385C10"/>
    <w:rsid w:val="00391512"/>
    <w:rsid w:val="00433FA2"/>
    <w:rsid w:val="00471CC9"/>
    <w:rsid w:val="0049575B"/>
    <w:rsid w:val="004E3169"/>
    <w:rsid w:val="004F1422"/>
    <w:rsid w:val="00535A59"/>
    <w:rsid w:val="00536478"/>
    <w:rsid w:val="00560A39"/>
    <w:rsid w:val="00573469"/>
    <w:rsid w:val="00580818"/>
    <w:rsid w:val="005824EF"/>
    <w:rsid w:val="005930E8"/>
    <w:rsid w:val="00596C7D"/>
    <w:rsid w:val="005A3F19"/>
    <w:rsid w:val="005B604B"/>
    <w:rsid w:val="005D3DA1"/>
    <w:rsid w:val="005E11FD"/>
    <w:rsid w:val="005F5128"/>
    <w:rsid w:val="00607A60"/>
    <w:rsid w:val="00613C41"/>
    <w:rsid w:val="006144F3"/>
    <w:rsid w:val="00624F63"/>
    <w:rsid w:val="00636286"/>
    <w:rsid w:val="00641292"/>
    <w:rsid w:val="00652A4A"/>
    <w:rsid w:val="006A153B"/>
    <w:rsid w:val="006D08D5"/>
    <w:rsid w:val="00706C7F"/>
    <w:rsid w:val="00713C9F"/>
    <w:rsid w:val="00714F41"/>
    <w:rsid w:val="00753E82"/>
    <w:rsid w:val="00770082"/>
    <w:rsid w:val="00771822"/>
    <w:rsid w:val="0078101C"/>
    <w:rsid w:val="00783549"/>
    <w:rsid w:val="007D303B"/>
    <w:rsid w:val="00836997"/>
    <w:rsid w:val="00845C11"/>
    <w:rsid w:val="0087248C"/>
    <w:rsid w:val="008A261D"/>
    <w:rsid w:val="008D4A44"/>
    <w:rsid w:val="008D7585"/>
    <w:rsid w:val="008E1A18"/>
    <w:rsid w:val="008F5CE7"/>
    <w:rsid w:val="00947BF3"/>
    <w:rsid w:val="00987C5C"/>
    <w:rsid w:val="009B37D1"/>
    <w:rsid w:val="009D52FE"/>
    <w:rsid w:val="009E31A4"/>
    <w:rsid w:val="00A2316F"/>
    <w:rsid w:val="00A35EF5"/>
    <w:rsid w:val="00A473AD"/>
    <w:rsid w:val="00A52F49"/>
    <w:rsid w:val="00A61356"/>
    <w:rsid w:val="00A63D6C"/>
    <w:rsid w:val="00A92236"/>
    <w:rsid w:val="00AA787B"/>
    <w:rsid w:val="00AC17ED"/>
    <w:rsid w:val="00AF29F0"/>
    <w:rsid w:val="00B0607C"/>
    <w:rsid w:val="00B1503F"/>
    <w:rsid w:val="00B30365"/>
    <w:rsid w:val="00B37CBB"/>
    <w:rsid w:val="00B42FE5"/>
    <w:rsid w:val="00B62DA3"/>
    <w:rsid w:val="00B7309D"/>
    <w:rsid w:val="00B75556"/>
    <w:rsid w:val="00B81D97"/>
    <w:rsid w:val="00B87E2D"/>
    <w:rsid w:val="00BC1ED2"/>
    <w:rsid w:val="00BD5DEF"/>
    <w:rsid w:val="00BE1350"/>
    <w:rsid w:val="00C045AD"/>
    <w:rsid w:val="00C4004F"/>
    <w:rsid w:val="00C52F08"/>
    <w:rsid w:val="00C60AB4"/>
    <w:rsid w:val="00C658F8"/>
    <w:rsid w:val="00C944E4"/>
    <w:rsid w:val="00CB6835"/>
    <w:rsid w:val="00CC2849"/>
    <w:rsid w:val="00CE51CC"/>
    <w:rsid w:val="00CE73E9"/>
    <w:rsid w:val="00CE7B50"/>
    <w:rsid w:val="00D17A11"/>
    <w:rsid w:val="00D20563"/>
    <w:rsid w:val="00D27EA0"/>
    <w:rsid w:val="00D41275"/>
    <w:rsid w:val="00D51EF2"/>
    <w:rsid w:val="00D54C84"/>
    <w:rsid w:val="00D61ED2"/>
    <w:rsid w:val="00DA06D9"/>
    <w:rsid w:val="00DD3F24"/>
    <w:rsid w:val="00E06B18"/>
    <w:rsid w:val="00E07E6D"/>
    <w:rsid w:val="00E22A12"/>
    <w:rsid w:val="00E310D0"/>
    <w:rsid w:val="00E34609"/>
    <w:rsid w:val="00E46672"/>
    <w:rsid w:val="00E57FF1"/>
    <w:rsid w:val="00E8030C"/>
    <w:rsid w:val="00E935D2"/>
    <w:rsid w:val="00EA2913"/>
    <w:rsid w:val="00EB7BB4"/>
    <w:rsid w:val="00ED335C"/>
    <w:rsid w:val="00EE6B2F"/>
    <w:rsid w:val="00EF7182"/>
    <w:rsid w:val="00F13715"/>
    <w:rsid w:val="00F34C25"/>
    <w:rsid w:val="00F41119"/>
    <w:rsid w:val="00F60E38"/>
    <w:rsid w:val="00F7514F"/>
    <w:rsid w:val="00F752BE"/>
    <w:rsid w:val="00F81126"/>
    <w:rsid w:val="00FA6EB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A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4459"/>
    <w:rPr>
      <w:rFonts w:asciiTheme="majorHAnsi" w:eastAsiaTheme="majorEastAsia" w:hAnsiTheme="majorHAnsi" w:cstheme="majorBidi"/>
      <w:sz w:val="18"/>
      <w:szCs w:val="18"/>
    </w:rPr>
  </w:style>
  <w:style w:type="character" w:customStyle="1" w:styleId="Char">
    <w:name w:val="批注框文本 Char"/>
    <w:basedOn w:val="a0"/>
    <w:link w:val="a3"/>
    <w:uiPriority w:val="99"/>
    <w:semiHidden/>
    <w:rsid w:val="001D4459"/>
    <w:rPr>
      <w:rFonts w:asciiTheme="majorHAnsi" w:eastAsiaTheme="majorEastAsia" w:hAnsiTheme="majorHAnsi" w:cstheme="majorBidi"/>
      <w:sz w:val="18"/>
      <w:szCs w:val="18"/>
    </w:rPr>
  </w:style>
  <w:style w:type="table" w:styleId="a4">
    <w:name w:val="Table Grid"/>
    <w:basedOn w:val="a1"/>
    <w:uiPriority w:val="59"/>
    <w:rsid w:val="00DA06D9"/>
    <w:rPr>
      <w:kern w:val="0"/>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DA06D9"/>
    <w:rPr>
      <w:color w:val="0000FF"/>
      <w:u w:val="single"/>
    </w:rPr>
  </w:style>
  <w:style w:type="paragraph" w:customStyle="1" w:styleId="ecxdefault">
    <w:name w:val="ecxdefault"/>
    <w:basedOn w:val="a"/>
    <w:rsid w:val="00DA06D9"/>
    <w:pPr>
      <w:widowControl/>
      <w:spacing w:after="324"/>
    </w:pPr>
    <w:rPr>
      <w:rFonts w:ascii="Times New Roman" w:eastAsia="Times New Roman" w:hAnsi="Times New Roman" w:cs="Times New Roman"/>
      <w:kern w:val="0"/>
      <w:szCs w:val="24"/>
    </w:rPr>
  </w:style>
  <w:style w:type="character" w:customStyle="1" w:styleId="st">
    <w:name w:val="st"/>
    <w:rsid w:val="00DA06D9"/>
  </w:style>
  <w:style w:type="paragraph" w:customStyle="1" w:styleId="Default">
    <w:name w:val="Default"/>
    <w:rsid w:val="00DA06D9"/>
    <w:pPr>
      <w:widowControl w:val="0"/>
      <w:autoSpaceDE w:val="0"/>
      <w:autoSpaceDN w:val="0"/>
      <w:adjustRightInd w:val="0"/>
    </w:pPr>
    <w:rPr>
      <w:rFonts w:ascii="Calibri" w:eastAsia="MS Mincho" w:hAnsi="Calibri" w:cs="Calibri"/>
      <w:color w:val="000000"/>
      <w:kern w:val="0"/>
      <w:szCs w:val="24"/>
    </w:rPr>
  </w:style>
  <w:style w:type="paragraph" w:styleId="a6">
    <w:name w:val="List Paragraph"/>
    <w:basedOn w:val="a"/>
    <w:uiPriority w:val="34"/>
    <w:qFormat/>
    <w:rsid w:val="002D7E66"/>
    <w:pPr>
      <w:ind w:leftChars="200" w:left="480"/>
    </w:pPr>
  </w:style>
  <w:style w:type="paragraph" w:styleId="a7">
    <w:name w:val="header"/>
    <w:basedOn w:val="a"/>
    <w:link w:val="Char0"/>
    <w:uiPriority w:val="99"/>
    <w:unhideWhenUsed/>
    <w:rsid w:val="00381FF1"/>
    <w:pPr>
      <w:tabs>
        <w:tab w:val="center" w:pos="4153"/>
        <w:tab w:val="right" w:pos="8306"/>
      </w:tabs>
      <w:snapToGrid w:val="0"/>
    </w:pPr>
    <w:rPr>
      <w:sz w:val="20"/>
      <w:szCs w:val="20"/>
    </w:rPr>
  </w:style>
  <w:style w:type="character" w:customStyle="1" w:styleId="Char0">
    <w:name w:val="页眉 Char"/>
    <w:basedOn w:val="a0"/>
    <w:link w:val="a7"/>
    <w:uiPriority w:val="99"/>
    <w:rsid w:val="00381FF1"/>
    <w:rPr>
      <w:sz w:val="20"/>
      <w:szCs w:val="20"/>
    </w:rPr>
  </w:style>
  <w:style w:type="paragraph" w:styleId="a8">
    <w:name w:val="footer"/>
    <w:basedOn w:val="a"/>
    <w:link w:val="Char1"/>
    <w:uiPriority w:val="99"/>
    <w:unhideWhenUsed/>
    <w:rsid w:val="00381FF1"/>
    <w:pPr>
      <w:tabs>
        <w:tab w:val="center" w:pos="4153"/>
        <w:tab w:val="right" w:pos="8306"/>
      </w:tabs>
      <w:snapToGrid w:val="0"/>
    </w:pPr>
    <w:rPr>
      <w:sz w:val="20"/>
      <w:szCs w:val="20"/>
    </w:rPr>
  </w:style>
  <w:style w:type="character" w:customStyle="1" w:styleId="Char1">
    <w:name w:val="页脚 Char"/>
    <w:basedOn w:val="a0"/>
    <w:link w:val="a8"/>
    <w:uiPriority w:val="99"/>
    <w:rsid w:val="00381FF1"/>
    <w:rPr>
      <w:sz w:val="20"/>
      <w:szCs w:val="20"/>
    </w:rPr>
  </w:style>
  <w:style w:type="character" w:styleId="a9">
    <w:name w:val="annotation reference"/>
    <w:basedOn w:val="a0"/>
    <w:uiPriority w:val="99"/>
    <w:semiHidden/>
    <w:unhideWhenUsed/>
    <w:rsid w:val="002A08CF"/>
    <w:rPr>
      <w:sz w:val="21"/>
      <w:szCs w:val="21"/>
    </w:rPr>
  </w:style>
  <w:style w:type="paragraph" w:styleId="aa">
    <w:name w:val="annotation text"/>
    <w:basedOn w:val="a"/>
    <w:link w:val="Char2"/>
    <w:uiPriority w:val="99"/>
    <w:semiHidden/>
    <w:unhideWhenUsed/>
    <w:rsid w:val="002A08CF"/>
  </w:style>
  <w:style w:type="character" w:customStyle="1" w:styleId="Char2">
    <w:name w:val="批注文字 Char"/>
    <w:basedOn w:val="a0"/>
    <w:link w:val="aa"/>
    <w:uiPriority w:val="99"/>
    <w:semiHidden/>
    <w:rsid w:val="002A08CF"/>
  </w:style>
  <w:style w:type="paragraph" w:styleId="ab">
    <w:name w:val="annotation subject"/>
    <w:basedOn w:val="aa"/>
    <w:next w:val="aa"/>
    <w:link w:val="Char3"/>
    <w:uiPriority w:val="99"/>
    <w:semiHidden/>
    <w:unhideWhenUsed/>
    <w:rsid w:val="002A08CF"/>
    <w:rPr>
      <w:b/>
      <w:bCs/>
    </w:rPr>
  </w:style>
  <w:style w:type="character" w:customStyle="1" w:styleId="Char3">
    <w:name w:val="批注主题 Char"/>
    <w:basedOn w:val="Char2"/>
    <w:link w:val="ab"/>
    <w:uiPriority w:val="99"/>
    <w:semiHidden/>
    <w:rsid w:val="002A08CF"/>
    <w:rPr>
      <w:b/>
      <w:bCs/>
    </w:rPr>
  </w:style>
  <w:style w:type="paragraph" w:styleId="ac">
    <w:name w:val="Normal (Web)"/>
    <w:basedOn w:val="a"/>
    <w:uiPriority w:val="99"/>
    <w:semiHidden/>
    <w:unhideWhenUsed/>
    <w:rsid w:val="0049575B"/>
    <w:pPr>
      <w:widowControl/>
      <w:spacing w:before="100" w:beforeAutospacing="1" w:after="100" w:afterAutospacing="1"/>
    </w:pPr>
    <w:rPr>
      <w:rFonts w:ascii="Times" w:hAnsi="Times" w:cs="Times New Roman"/>
      <w:kern w:val="0"/>
      <w:sz w:val="20"/>
      <w:szCs w:val="20"/>
      <w:lang w:eastAsia="zh-H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4459"/>
    <w:rPr>
      <w:rFonts w:asciiTheme="majorHAnsi" w:eastAsiaTheme="majorEastAsia" w:hAnsiTheme="majorHAnsi" w:cstheme="majorBidi"/>
      <w:sz w:val="18"/>
      <w:szCs w:val="18"/>
    </w:rPr>
  </w:style>
  <w:style w:type="character" w:customStyle="1" w:styleId="Char">
    <w:name w:val="批注框文本 Char"/>
    <w:basedOn w:val="a0"/>
    <w:link w:val="a3"/>
    <w:uiPriority w:val="99"/>
    <w:semiHidden/>
    <w:rsid w:val="001D4459"/>
    <w:rPr>
      <w:rFonts w:asciiTheme="majorHAnsi" w:eastAsiaTheme="majorEastAsia" w:hAnsiTheme="majorHAnsi" w:cstheme="majorBidi"/>
      <w:sz w:val="18"/>
      <w:szCs w:val="18"/>
    </w:rPr>
  </w:style>
  <w:style w:type="table" w:styleId="a4">
    <w:name w:val="Table Grid"/>
    <w:basedOn w:val="a1"/>
    <w:uiPriority w:val="59"/>
    <w:rsid w:val="00DA06D9"/>
    <w:rPr>
      <w:kern w:val="0"/>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DA06D9"/>
    <w:rPr>
      <w:color w:val="0000FF"/>
      <w:u w:val="single"/>
    </w:rPr>
  </w:style>
  <w:style w:type="paragraph" w:customStyle="1" w:styleId="ecxdefault">
    <w:name w:val="ecxdefault"/>
    <w:basedOn w:val="a"/>
    <w:rsid w:val="00DA06D9"/>
    <w:pPr>
      <w:widowControl/>
      <w:spacing w:after="324"/>
    </w:pPr>
    <w:rPr>
      <w:rFonts w:ascii="Times New Roman" w:eastAsia="Times New Roman" w:hAnsi="Times New Roman" w:cs="Times New Roman"/>
      <w:kern w:val="0"/>
      <w:szCs w:val="24"/>
    </w:rPr>
  </w:style>
  <w:style w:type="character" w:customStyle="1" w:styleId="st">
    <w:name w:val="st"/>
    <w:rsid w:val="00DA06D9"/>
  </w:style>
  <w:style w:type="paragraph" w:customStyle="1" w:styleId="Default">
    <w:name w:val="Default"/>
    <w:rsid w:val="00DA06D9"/>
    <w:pPr>
      <w:widowControl w:val="0"/>
      <w:autoSpaceDE w:val="0"/>
      <w:autoSpaceDN w:val="0"/>
      <w:adjustRightInd w:val="0"/>
    </w:pPr>
    <w:rPr>
      <w:rFonts w:ascii="Calibri" w:eastAsia="MS Mincho" w:hAnsi="Calibri" w:cs="Calibri"/>
      <w:color w:val="000000"/>
      <w:kern w:val="0"/>
      <w:szCs w:val="24"/>
    </w:rPr>
  </w:style>
  <w:style w:type="paragraph" w:styleId="a6">
    <w:name w:val="List Paragraph"/>
    <w:basedOn w:val="a"/>
    <w:uiPriority w:val="34"/>
    <w:qFormat/>
    <w:rsid w:val="002D7E66"/>
    <w:pPr>
      <w:ind w:leftChars="200" w:left="480"/>
    </w:pPr>
  </w:style>
  <w:style w:type="paragraph" w:styleId="a7">
    <w:name w:val="header"/>
    <w:basedOn w:val="a"/>
    <w:link w:val="Char0"/>
    <w:uiPriority w:val="99"/>
    <w:unhideWhenUsed/>
    <w:rsid w:val="00381FF1"/>
    <w:pPr>
      <w:tabs>
        <w:tab w:val="center" w:pos="4153"/>
        <w:tab w:val="right" w:pos="8306"/>
      </w:tabs>
      <w:snapToGrid w:val="0"/>
    </w:pPr>
    <w:rPr>
      <w:sz w:val="20"/>
      <w:szCs w:val="20"/>
    </w:rPr>
  </w:style>
  <w:style w:type="character" w:customStyle="1" w:styleId="Char0">
    <w:name w:val="页眉 Char"/>
    <w:basedOn w:val="a0"/>
    <w:link w:val="a7"/>
    <w:uiPriority w:val="99"/>
    <w:rsid w:val="00381FF1"/>
    <w:rPr>
      <w:sz w:val="20"/>
      <w:szCs w:val="20"/>
    </w:rPr>
  </w:style>
  <w:style w:type="paragraph" w:styleId="a8">
    <w:name w:val="footer"/>
    <w:basedOn w:val="a"/>
    <w:link w:val="Char1"/>
    <w:uiPriority w:val="99"/>
    <w:unhideWhenUsed/>
    <w:rsid w:val="00381FF1"/>
    <w:pPr>
      <w:tabs>
        <w:tab w:val="center" w:pos="4153"/>
        <w:tab w:val="right" w:pos="8306"/>
      </w:tabs>
      <w:snapToGrid w:val="0"/>
    </w:pPr>
    <w:rPr>
      <w:sz w:val="20"/>
      <w:szCs w:val="20"/>
    </w:rPr>
  </w:style>
  <w:style w:type="character" w:customStyle="1" w:styleId="Char1">
    <w:name w:val="页脚 Char"/>
    <w:basedOn w:val="a0"/>
    <w:link w:val="a8"/>
    <w:uiPriority w:val="99"/>
    <w:rsid w:val="00381FF1"/>
    <w:rPr>
      <w:sz w:val="20"/>
      <w:szCs w:val="20"/>
    </w:rPr>
  </w:style>
  <w:style w:type="character" w:styleId="a9">
    <w:name w:val="annotation reference"/>
    <w:basedOn w:val="a0"/>
    <w:uiPriority w:val="99"/>
    <w:semiHidden/>
    <w:unhideWhenUsed/>
    <w:rsid w:val="002A08CF"/>
    <w:rPr>
      <w:sz w:val="21"/>
      <w:szCs w:val="21"/>
    </w:rPr>
  </w:style>
  <w:style w:type="paragraph" w:styleId="aa">
    <w:name w:val="annotation text"/>
    <w:basedOn w:val="a"/>
    <w:link w:val="Char2"/>
    <w:uiPriority w:val="99"/>
    <w:semiHidden/>
    <w:unhideWhenUsed/>
    <w:rsid w:val="002A08CF"/>
  </w:style>
  <w:style w:type="character" w:customStyle="1" w:styleId="Char2">
    <w:name w:val="批注文字 Char"/>
    <w:basedOn w:val="a0"/>
    <w:link w:val="aa"/>
    <w:uiPriority w:val="99"/>
    <w:semiHidden/>
    <w:rsid w:val="002A08CF"/>
  </w:style>
  <w:style w:type="paragraph" w:styleId="ab">
    <w:name w:val="annotation subject"/>
    <w:basedOn w:val="aa"/>
    <w:next w:val="aa"/>
    <w:link w:val="Char3"/>
    <w:uiPriority w:val="99"/>
    <w:semiHidden/>
    <w:unhideWhenUsed/>
    <w:rsid w:val="002A08CF"/>
    <w:rPr>
      <w:b/>
      <w:bCs/>
    </w:rPr>
  </w:style>
  <w:style w:type="character" w:customStyle="1" w:styleId="Char3">
    <w:name w:val="批注主题 Char"/>
    <w:basedOn w:val="Char2"/>
    <w:link w:val="ab"/>
    <w:uiPriority w:val="99"/>
    <w:semiHidden/>
    <w:rsid w:val="002A08CF"/>
    <w:rPr>
      <w:b/>
      <w:bCs/>
    </w:rPr>
  </w:style>
  <w:style w:type="paragraph" w:styleId="ac">
    <w:name w:val="Normal (Web)"/>
    <w:basedOn w:val="a"/>
    <w:uiPriority w:val="99"/>
    <w:semiHidden/>
    <w:unhideWhenUsed/>
    <w:rsid w:val="0049575B"/>
    <w:pPr>
      <w:widowControl/>
      <w:spacing w:before="100" w:beforeAutospacing="1" w:after="100" w:afterAutospacing="1"/>
    </w:pPr>
    <w:rPr>
      <w:rFonts w:ascii="Times" w:hAnsi="Times" w:cs="Times New Roman"/>
      <w:kern w:val="0"/>
      <w:sz w:val="20"/>
      <w:szCs w:val="20"/>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46647">
      <w:bodyDiv w:val="1"/>
      <w:marLeft w:val="0"/>
      <w:marRight w:val="0"/>
      <w:marTop w:val="0"/>
      <w:marBottom w:val="0"/>
      <w:divBdr>
        <w:top w:val="none" w:sz="0" w:space="0" w:color="auto"/>
        <w:left w:val="none" w:sz="0" w:space="0" w:color="auto"/>
        <w:bottom w:val="none" w:sz="0" w:space="0" w:color="auto"/>
        <w:right w:val="none" w:sz="0" w:space="0" w:color="auto"/>
      </w:divBdr>
    </w:div>
    <w:div w:id="268854617">
      <w:bodyDiv w:val="1"/>
      <w:marLeft w:val="0"/>
      <w:marRight w:val="0"/>
      <w:marTop w:val="0"/>
      <w:marBottom w:val="0"/>
      <w:divBdr>
        <w:top w:val="none" w:sz="0" w:space="0" w:color="auto"/>
        <w:left w:val="none" w:sz="0" w:space="0" w:color="auto"/>
        <w:bottom w:val="none" w:sz="0" w:space="0" w:color="auto"/>
        <w:right w:val="none" w:sz="0" w:space="0" w:color="auto"/>
      </w:divBdr>
      <w:divsChild>
        <w:div w:id="855311187">
          <w:marLeft w:val="0"/>
          <w:marRight w:val="0"/>
          <w:marTop w:val="0"/>
          <w:marBottom w:val="0"/>
          <w:divBdr>
            <w:top w:val="none" w:sz="0" w:space="0" w:color="auto"/>
            <w:left w:val="none" w:sz="0" w:space="0" w:color="auto"/>
            <w:bottom w:val="none" w:sz="0" w:space="0" w:color="auto"/>
            <w:right w:val="none" w:sz="0" w:space="0" w:color="auto"/>
          </w:divBdr>
          <w:divsChild>
            <w:div w:id="237597879">
              <w:marLeft w:val="0"/>
              <w:marRight w:val="0"/>
              <w:marTop w:val="0"/>
              <w:marBottom w:val="0"/>
              <w:divBdr>
                <w:top w:val="none" w:sz="0" w:space="0" w:color="auto"/>
                <w:left w:val="none" w:sz="0" w:space="0" w:color="auto"/>
                <w:bottom w:val="none" w:sz="0" w:space="0" w:color="auto"/>
                <w:right w:val="none" w:sz="0" w:space="0" w:color="auto"/>
              </w:divBdr>
              <w:divsChild>
                <w:div w:id="9969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1517">
      <w:bodyDiv w:val="1"/>
      <w:marLeft w:val="0"/>
      <w:marRight w:val="0"/>
      <w:marTop w:val="0"/>
      <w:marBottom w:val="0"/>
      <w:divBdr>
        <w:top w:val="none" w:sz="0" w:space="0" w:color="auto"/>
        <w:left w:val="none" w:sz="0" w:space="0" w:color="auto"/>
        <w:bottom w:val="none" w:sz="0" w:space="0" w:color="auto"/>
        <w:right w:val="none" w:sz="0" w:space="0" w:color="auto"/>
      </w:divBdr>
    </w:div>
    <w:div w:id="771706179">
      <w:bodyDiv w:val="1"/>
      <w:marLeft w:val="0"/>
      <w:marRight w:val="0"/>
      <w:marTop w:val="0"/>
      <w:marBottom w:val="0"/>
      <w:divBdr>
        <w:top w:val="none" w:sz="0" w:space="0" w:color="auto"/>
        <w:left w:val="none" w:sz="0" w:space="0" w:color="auto"/>
        <w:bottom w:val="none" w:sz="0" w:space="0" w:color="auto"/>
        <w:right w:val="none" w:sz="0" w:space="0" w:color="auto"/>
      </w:divBdr>
      <w:divsChild>
        <w:div w:id="1123615065">
          <w:marLeft w:val="0"/>
          <w:marRight w:val="0"/>
          <w:marTop w:val="0"/>
          <w:marBottom w:val="0"/>
          <w:divBdr>
            <w:top w:val="none" w:sz="0" w:space="0" w:color="auto"/>
            <w:left w:val="none" w:sz="0" w:space="0" w:color="auto"/>
            <w:bottom w:val="none" w:sz="0" w:space="0" w:color="auto"/>
            <w:right w:val="none" w:sz="0" w:space="0" w:color="auto"/>
          </w:divBdr>
          <w:divsChild>
            <w:div w:id="245267069">
              <w:marLeft w:val="0"/>
              <w:marRight w:val="0"/>
              <w:marTop w:val="0"/>
              <w:marBottom w:val="0"/>
              <w:divBdr>
                <w:top w:val="none" w:sz="0" w:space="0" w:color="auto"/>
                <w:left w:val="none" w:sz="0" w:space="0" w:color="auto"/>
                <w:bottom w:val="none" w:sz="0" w:space="0" w:color="auto"/>
                <w:right w:val="none" w:sz="0" w:space="0" w:color="auto"/>
              </w:divBdr>
              <w:divsChild>
                <w:div w:id="6165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7499">
      <w:bodyDiv w:val="1"/>
      <w:marLeft w:val="0"/>
      <w:marRight w:val="0"/>
      <w:marTop w:val="0"/>
      <w:marBottom w:val="0"/>
      <w:divBdr>
        <w:top w:val="none" w:sz="0" w:space="0" w:color="auto"/>
        <w:left w:val="none" w:sz="0" w:space="0" w:color="auto"/>
        <w:bottom w:val="none" w:sz="0" w:space="0" w:color="auto"/>
        <w:right w:val="none" w:sz="0" w:space="0" w:color="auto"/>
      </w:divBdr>
      <w:divsChild>
        <w:div w:id="1099912746">
          <w:marLeft w:val="0"/>
          <w:marRight w:val="0"/>
          <w:marTop w:val="0"/>
          <w:marBottom w:val="0"/>
          <w:divBdr>
            <w:top w:val="none" w:sz="0" w:space="0" w:color="auto"/>
            <w:left w:val="none" w:sz="0" w:space="0" w:color="auto"/>
            <w:bottom w:val="none" w:sz="0" w:space="0" w:color="auto"/>
            <w:right w:val="none" w:sz="0" w:space="0" w:color="auto"/>
          </w:divBdr>
          <w:divsChild>
            <w:div w:id="1398936058">
              <w:marLeft w:val="0"/>
              <w:marRight w:val="0"/>
              <w:marTop w:val="0"/>
              <w:marBottom w:val="0"/>
              <w:divBdr>
                <w:top w:val="none" w:sz="0" w:space="0" w:color="auto"/>
                <w:left w:val="none" w:sz="0" w:space="0" w:color="auto"/>
                <w:bottom w:val="none" w:sz="0" w:space="0" w:color="auto"/>
                <w:right w:val="none" w:sz="0" w:space="0" w:color="auto"/>
              </w:divBdr>
              <w:divsChild>
                <w:div w:id="5458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34897">
      <w:bodyDiv w:val="1"/>
      <w:marLeft w:val="0"/>
      <w:marRight w:val="0"/>
      <w:marTop w:val="0"/>
      <w:marBottom w:val="0"/>
      <w:divBdr>
        <w:top w:val="none" w:sz="0" w:space="0" w:color="auto"/>
        <w:left w:val="none" w:sz="0" w:space="0" w:color="auto"/>
        <w:bottom w:val="none" w:sz="0" w:space="0" w:color="auto"/>
        <w:right w:val="none" w:sz="0" w:space="0" w:color="auto"/>
      </w:divBdr>
      <w:divsChild>
        <w:div w:id="1714186986">
          <w:marLeft w:val="0"/>
          <w:marRight w:val="0"/>
          <w:marTop w:val="0"/>
          <w:marBottom w:val="0"/>
          <w:divBdr>
            <w:top w:val="none" w:sz="0" w:space="0" w:color="auto"/>
            <w:left w:val="none" w:sz="0" w:space="0" w:color="auto"/>
            <w:bottom w:val="none" w:sz="0" w:space="0" w:color="auto"/>
            <w:right w:val="none" w:sz="0" w:space="0" w:color="auto"/>
          </w:divBdr>
          <w:divsChild>
            <w:div w:id="1015838331">
              <w:marLeft w:val="0"/>
              <w:marRight w:val="0"/>
              <w:marTop w:val="0"/>
              <w:marBottom w:val="0"/>
              <w:divBdr>
                <w:top w:val="none" w:sz="0" w:space="0" w:color="auto"/>
                <w:left w:val="none" w:sz="0" w:space="0" w:color="auto"/>
                <w:bottom w:val="none" w:sz="0" w:space="0" w:color="auto"/>
                <w:right w:val="none" w:sz="0" w:space="0" w:color="auto"/>
              </w:divBdr>
              <w:divsChild>
                <w:div w:id="8323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5093">
      <w:bodyDiv w:val="1"/>
      <w:marLeft w:val="0"/>
      <w:marRight w:val="0"/>
      <w:marTop w:val="0"/>
      <w:marBottom w:val="0"/>
      <w:divBdr>
        <w:top w:val="none" w:sz="0" w:space="0" w:color="auto"/>
        <w:left w:val="none" w:sz="0" w:space="0" w:color="auto"/>
        <w:bottom w:val="none" w:sz="0" w:space="0" w:color="auto"/>
        <w:right w:val="none" w:sz="0" w:space="0" w:color="auto"/>
      </w:divBdr>
    </w:div>
    <w:div w:id="160217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r@csai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air.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sec.gov/Archives/edgar/data/1041668/000114420417022566/v463962_20f.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784BA-1795-4B40-8350-7F3A344C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张恒阁</cp:lastModifiedBy>
  <cp:revision>5</cp:revision>
  <cp:lastPrinted>2017-04-25T08:33:00Z</cp:lastPrinted>
  <dcterms:created xsi:type="dcterms:W3CDTF">2017-04-25T02:52:00Z</dcterms:created>
  <dcterms:modified xsi:type="dcterms:W3CDTF">2017-04-28T00:30:00Z</dcterms:modified>
</cp:coreProperties>
</file>